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eastAsia="仿宋_GB2312"/>
          <w:sz w:val="32"/>
          <w:szCs w:val="32"/>
          <w:lang w:eastAsia="zh-CN"/>
        </w:rPr>
        <w:t>华融致远投资管理有限责任公司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)的竞争性</w:t>
      </w:r>
      <w:r>
        <w:rPr>
          <w:rFonts w:hint="eastAsia" w:eastAsia="仿宋_GB2312"/>
          <w:sz w:val="32"/>
          <w:szCs w:val="32"/>
        </w:rPr>
        <w:t>磋商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5697E2A00002D6B" w:val=" "/>
  </w:docVars>
  <w:rsids>
    <w:rsidRoot w:val="00000000"/>
    <w:rsid w:val="06983D50"/>
    <w:rsid w:val="25AB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malong</dc:creator>
  <cp:lastModifiedBy>董嫽</cp:lastModifiedBy>
  <dcterms:modified xsi:type="dcterms:W3CDTF">2023-12-01T06:33:17Z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5CDBD4331E67404C87AA304B45191967</vt:lpwstr>
  </property>
</Properties>
</file>